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3ECCF" w14:textId="3FD4CEA1" w:rsidR="00CF396B" w:rsidRPr="00D32561" w:rsidRDefault="00CF396B" w:rsidP="00CF396B">
      <w:pPr>
        <w:pStyle w:val="a5"/>
        <w:tabs>
          <w:tab w:val="left" w:pos="8280"/>
        </w:tabs>
        <w:spacing w:line="280" w:lineRule="exact"/>
        <w:jc w:val="both"/>
        <w:rPr>
          <w:rFonts w:ascii="Calibri" w:eastAsia="PMingLiU" w:hAnsi="Calibri" w:cs="Arial"/>
          <w:noProof w:val="0"/>
          <w:sz w:val="24"/>
          <w:szCs w:val="24"/>
          <w:lang w:eastAsia="ja-JP"/>
        </w:rPr>
      </w:pPr>
      <w:r w:rsidRPr="00D32561">
        <w:rPr>
          <w:rFonts w:ascii="Calibri" w:eastAsia="PMingLiU" w:hAnsi="Calibri" w:cs="Arial"/>
          <w:noProof w:val="0"/>
          <w:sz w:val="24"/>
          <w:szCs w:val="24"/>
          <w:lang w:eastAsia="ja-JP"/>
        </w:rPr>
        <w:t xml:space="preserve">3GPP TSG-RAN WG4 Meeting #88bis                       </w:t>
      </w:r>
      <w:r w:rsidRPr="00D32561">
        <w:rPr>
          <w:rFonts w:ascii="Calibri" w:eastAsia="PMingLiU" w:hAnsi="Calibri" w:cs="Arial"/>
          <w:noProof w:val="0"/>
          <w:sz w:val="24"/>
          <w:szCs w:val="24"/>
          <w:lang w:eastAsia="ja-JP"/>
        </w:rPr>
        <w:tab/>
        <w:t xml:space="preserve"> R4-181</w:t>
      </w:r>
      <w:r w:rsidR="00D32561">
        <w:rPr>
          <w:rFonts w:ascii="Calibri" w:eastAsia="PMingLiU" w:hAnsi="Calibri" w:cs="Arial"/>
          <w:noProof w:val="0"/>
          <w:sz w:val="24"/>
          <w:szCs w:val="24"/>
          <w:lang w:eastAsia="ja-JP"/>
        </w:rPr>
        <w:t>2530</w:t>
      </w:r>
    </w:p>
    <w:p w14:paraId="2B40689D" w14:textId="77777777" w:rsidR="00CF396B" w:rsidRPr="00197406" w:rsidRDefault="00CF396B" w:rsidP="00CF396B">
      <w:pPr>
        <w:tabs>
          <w:tab w:val="left" w:pos="1985"/>
        </w:tabs>
        <w:jc w:val="both"/>
        <w:rPr>
          <w:rFonts w:ascii="Calibri" w:eastAsia="PMingLiU" w:hAnsi="Calibri" w:cs="Arial"/>
          <w:b/>
          <w:sz w:val="24"/>
          <w:szCs w:val="24"/>
          <w:lang w:eastAsia="ja-JP"/>
        </w:rPr>
      </w:pPr>
      <w:r w:rsidRPr="00D32561">
        <w:rPr>
          <w:rFonts w:ascii="Calibri" w:hAnsi="Calibri" w:cs="Arial"/>
          <w:b/>
          <w:sz w:val="24"/>
          <w:lang w:eastAsia="ja-JP"/>
        </w:rPr>
        <w:t>Chengdu, China, Oct. 8</w:t>
      </w:r>
      <w:r w:rsidRPr="00D32561">
        <w:rPr>
          <w:rFonts w:ascii="Calibri" w:hAnsi="Calibri" w:cs="Arial"/>
          <w:b/>
          <w:sz w:val="24"/>
          <w:vertAlign w:val="superscript"/>
          <w:lang w:eastAsia="ja-JP"/>
        </w:rPr>
        <w:t>th</w:t>
      </w:r>
      <w:r w:rsidRPr="00D32561">
        <w:rPr>
          <w:rFonts w:ascii="Calibri" w:hAnsi="Calibri" w:cs="Arial"/>
          <w:b/>
          <w:sz w:val="24"/>
          <w:lang w:eastAsia="ja-JP"/>
        </w:rPr>
        <w:t xml:space="preserve"> – 12</w:t>
      </w:r>
      <w:r w:rsidRPr="00D32561">
        <w:rPr>
          <w:rFonts w:ascii="Calibri" w:hAnsi="Calibri" w:cs="Arial"/>
          <w:b/>
          <w:sz w:val="24"/>
          <w:vertAlign w:val="superscript"/>
          <w:lang w:eastAsia="ja-JP"/>
        </w:rPr>
        <w:t>th</w:t>
      </w:r>
      <w:r w:rsidRPr="00D32561">
        <w:rPr>
          <w:rFonts w:cs="Arial"/>
          <w:b/>
          <w:lang w:eastAsia="ja-JP"/>
        </w:rPr>
        <w:t>,</w:t>
      </w:r>
      <w:r w:rsidRPr="00D32561">
        <w:rPr>
          <w:rFonts w:ascii="Calibri" w:eastAsia="PMingLiU" w:hAnsi="Calibri" w:cs="Arial"/>
          <w:b/>
          <w:sz w:val="24"/>
          <w:szCs w:val="24"/>
          <w:lang w:eastAsia="ja-JP"/>
        </w:rPr>
        <w:t xml:space="preserve"> 2018</w:t>
      </w:r>
      <w:r w:rsidRPr="00197406">
        <w:rPr>
          <w:rFonts w:ascii="Calibri" w:eastAsia="PMingLiU" w:hAnsi="Calibri" w:cs="Arial"/>
          <w:b/>
          <w:sz w:val="24"/>
          <w:szCs w:val="24"/>
          <w:lang w:eastAsia="ja-JP"/>
        </w:rPr>
        <w:t xml:space="preserve">                                                          </w:t>
      </w:r>
    </w:p>
    <w:p w14:paraId="0426E601" w14:textId="77777777" w:rsidR="002E58D2" w:rsidRPr="00CF396B" w:rsidRDefault="002E58D2" w:rsidP="002E58D2">
      <w:pPr>
        <w:pStyle w:val="a5"/>
        <w:rPr>
          <w:rFonts w:ascii="Calibri" w:eastAsia="PMingLiU" w:hAnsi="Calibri"/>
          <w:sz w:val="24"/>
          <w:lang w:eastAsia="zh-TW"/>
        </w:rPr>
      </w:pPr>
    </w:p>
    <w:p w14:paraId="6352570E" w14:textId="13804065"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5B485A">
        <w:rPr>
          <w:rFonts w:cs="Arial"/>
          <w:b/>
          <w:bCs/>
        </w:rPr>
        <w:t>7.11.</w:t>
      </w:r>
      <w:r w:rsidR="00CF396B">
        <w:rPr>
          <w:rFonts w:cs="Arial"/>
          <w:b/>
          <w:bCs/>
        </w:rPr>
        <w:t>4.1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569B4DB" w:rsidR="00174EC2" w:rsidRDefault="0034111C" w:rsidP="007A4FCF">
      <w:pPr>
        <w:ind w:left="1985" w:hanging="1985"/>
        <w:rPr>
          <w:rFonts w:cs="Arial"/>
          <w:b/>
          <w:bCs/>
        </w:rPr>
      </w:pPr>
      <w:r w:rsidRPr="000C45FD">
        <w:rPr>
          <w:rFonts w:cs="Arial"/>
          <w:b/>
          <w:bCs/>
        </w:rPr>
        <w:t>Title:</w:t>
      </w:r>
      <w:r w:rsidRPr="000C45FD">
        <w:rPr>
          <w:rFonts w:cs="Arial"/>
          <w:b/>
          <w:bCs/>
        </w:rPr>
        <w:tab/>
      </w:r>
      <w:r w:rsidR="00AC376A">
        <w:rPr>
          <w:rFonts w:cs="Arial"/>
          <w:b/>
          <w:bCs/>
        </w:rPr>
        <w:t xml:space="preserve">Remaining Issue </w:t>
      </w:r>
      <w:r w:rsidR="00A33B3C">
        <w:rPr>
          <w:rFonts w:cs="Arial"/>
          <w:b/>
          <w:bCs/>
        </w:rPr>
        <w:t>Discussion on</w:t>
      </w:r>
      <w:r w:rsidR="001A4F45">
        <w:rPr>
          <w:rFonts w:cs="Arial"/>
          <w:b/>
          <w:bCs/>
        </w:rPr>
        <w:t xml:space="preserve"> </w:t>
      </w:r>
      <w:r w:rsidR="00AC376A">
        <w:rPr>
          <w:rFonts w:cs="Arial"/>
          <w:b/>
          <w:bCs/>
        </w:rPr>
        <w:t>I</w:t>
      </w:r>
      <w:r w:rsidR="00690CB4">
        <w:rPr>
          <w:rFonts w:cs="Arial"/>
          <w:b/>
          <w:bCs/>
        </w:rPr>
        <w:t>dle</w:t>
      </w:r>
      <w:r w:rsidR="00B60555">
        <w:rPr>
          <w:rFonts w:cs="Arial"/>
          <w:b/>
          <w:bCs/>
        </w:rPr>
        <w:t xml:space="preserve"> </w:t>
      </w:r>
      <w:r w:rsidR="00AC376A">
        <w:rPr>
          <w:rFonts w:cs="Arial"/>
          <w:b/>
          <w:bCs/>
        </w:rPr>
        <w:t>S</w:t>
      </w:r>
      <w:r w:rsidR="00690CB4">
        <w:rPr>
          <w:rFonts w:cs="Arial"/>
          <w:b/>
          <w:bCs/>
        </w:rPr>
        <w:t xml:space="preserve">tate </w:t>
      </w:r>
      <w:r w:rsidR="00B60555">
        <w:rPr>
          <w:rFonts w:cs="Arial"/>
          <w:b/>
          <w:bCs/>
        </w:rPr>
        <w:t xml:space="preserve">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717C856" w14:textId="38F048D5" w:rsidR="007C5EEF" w:rsidRDefault="00D37828" w:rsidP="00BA0FF7">
      <w:pPr>
        <w:jc w:val="both"/>
        <w:rPr>
          <w:rFonts w:eastAsia="宋体"/>
        </w:rPr>
      </w:pPr>
      <w:r w:rsidRPr="0020001D">
        <w:t xml:space="preserve">In the </w:t>
      </w:r>
      <w:r w:rsidR="007B0776" w:rsidRPr="0020001D">
        <w:t>RAN</w:t>
      </w:r>
      <w:r w:rsidR="00F13D37">
        <w:t xml:space="preserve">4 </w:t>
      </w:r>
      <w:r w:rsidR="007B0776">
        <w:t>#</w:t>
      </w:r>
      <w:r w:rsidR="00CF396B">
        <w:t>88</w:t>
      </w:r>
      <w:r>
        <w:t xml:space="preserve"> meeting, </w:t>
      </w:r>
      <w:r w:rsidR="00F13D37">
        <w:t xml:space="preserve">a </w:t>
      </w:r>
      <w:r w:rsidR="00CF396B">
        <w:t>CR</w:t>
      </w:r>
      <w:r w:rsidRPr="00D37828">
        <w:rPr>
          <w:rFonts w:eastAsia="宋体" w:hint="eastAsia"/>
        </w:rPr>
        <w:t xml:space="preserve"> </w:t>
      </w:r>
      <w:r w:rsidR="00CF396B">
        <w:rPr>
          <w:rFonts w:eastAsia="宋体"/>
        </w:rPr>
        <w:t>for</w:t>
      </w:r>
      <w:r w:rsidR="00F13D37">
        <w:rPr>
          <w:rFonts w:eastAsia="宋体"/>
        </w:rPr>
        <w:t xml:space="preserve"> </w:t>
      </w:r>
      <w:r w:rsidR="00CF396B">
        <w:rPr>
          <w:rFonts w:eastAsia="宋体"/>
        </w:rPr>
        <w:t>I</w:t>
      </w:r>
      <w:r w:rsidR="007A4B9E">
        <w:rPr>
          <w:rFonts w:eastAsia="宋体"/>
        </w:rPr>
        <w:t>DLE</w:t>
      </w:r>
      <w:r w:rsidR="007A4B9E" w:rsidRPr="00D37828">
        <w:rPr>
          <w:rFonts w:eastAsia="宋体" w:hint="eastAsia"/>
        </w:rPr>
        <w:t xml:space="preserve"> </w:t>
      </w:r>
      <w:r w:rsidRPr="00D37828">
        <w:rPr>
          <w:rFonts w:eastAsia="宋体" w:hint="eastAsia"/>
        </w:rPr>
        <w:t xml:space="preserve">mode </w:t>
      </w:r>
      <w:r w:rsidR="00CF396B">
        <w:rPr>
          <w:rFonts w:eastAsia="宋体"/>
        </w:rPr>
        <w:t xml:space="preserve">cell-reselection </w:t>
      </w:r>
      <w:r w:rsidR="00EA51D3">
        <w:rPr>
          <w:rFonts w:eastAsia="宋体"/>
        </w:rPr>
        <w:t xml:space="preserve">is agreed </w:t>
      </w:r>
      <w:r w:rsidR="00EA51D3">
        <w:rPr>
          <w:rFonts w:eastAsia="宋体"/>
        </w:rPr>
        <w:fldChar w:fldCharType="begin"/>
      </w:r>
      <w:r w:rsidR="00EA51D3">
        <w:rPr>
          <w:rFonts w:eastAsia="宋体"/>
        </w:rPr>
        <w:instrText xml:space="preserve"> REF _Ref510193169 \n \h </w:instrText>
      </w:r>
      <w:r w:rsidR="00EA51D3">
        <w:rPr>
          <w:rFonts w:eastAsia="宋体"/>
        </w:rPr>
      </w:r>
      <w:r w:rsidR="00EA51D3">
        <w:rPr>
          <w:rFonts w:eastAsia="宋体"/>
        </w:rPr>
        <w:fldChar w:fldCharType="separate"/>
      </w:r>
      <w:r w:rsidR="009944A2">
        <w:rPr>
          <w:rFonts w:eastAsia="宋体"/>
        </w:rPr>
        <w:t>[1]</w:t>
      </w:r>
      <w:r w:rsidR="00EA51D3">
        <w:rPr>
          <w:rFonts w:eastAsia="宋体"/>
        </w:rPr>
        <w:fldChar w:fldCharType="end"/>
      </w:r>
      <w:r w:rsidR="00EA51D3">
        <w:rPr>
          <w:rFonts w:eastAsia="宋体"/>
        </w:rPr>
        <w:t>.</w:t>
      </w:r>
      <w:r w:rsidRPr="00D37828">
        <w:rPr>
          <w:rFonts w:eastAsia="宋体" w:hint="eastAsia"/>
        </w:rPr>
        <w:t xml:space="preserve"> </w:t>
      </w:r>
      <w:r w:rsidR="00CF396B">
        <w:rPr>
          <w:rFonts w:eastAsia="宋体"/>
        </w:rPr>
        <w:t>The remaining issue for how to capture the scenario when DRX=320ms, SMTC periodicity=160ms in both intra-frequency and inter-frequency carriers, and SMTC durations fully collide each other.</w:t>
      </w:r>
    </w:p>
    <w:tbl>
      <w:tblPr>
        <w:tblStyle w:val="af4"/>
        <w:tblW w:w="0" w:type="auto"/>
        <w:tblLook w:val="04A0" w:firstRow="1" w:lastRow="0" w:firstColumn="1" w:lastColumn="0" w:noHBand="0" w:noVBand="1"/>
      </w:tblPr>
      <w:tblGrid>
        <w:gridCol w:w="9629"/>
      </w:tblGrid>
      <w:tr w:rsidR="007C5EEF" w14:paraId="7496EE5E" w14:textId="77777777" w:rsidTr="00A42EF8">
        <w:tc>
          <w:tcPr>
            <w:tcW w:w="9629" w:type="dxa"/>
          </w:tcPr>
          <w:p w14:paraId="1BA6606D" w14:textId="77777777" w:rsidR="00CF396B" w:rsidRPr="00CF396B" w:rsidRDefault="00CF396B" w:rsidP="00CF396B">
            <w:pPr>
              <w:keepNext/>
              <w:keepLines/>
              <w:spacing w:before="60"/>
              <w:jc w:val="center"/>
              <w:rPr>
                <w:sz w:val="18"/>
                <w:vertAlign w:val="subscript"/>
              </w:rPr>
            </w:pPr>
            <w:r w:rsidRPr="00CF396B">
              <w:rPr>
                <w:rFonts w:ascii="Arial" w:hAnsi="Arial"/>
                <w:b/>
                <w:sz w:val="18"/>
              </w:rPr>
              <w:t>Table 4.2.2.4-1 : T</w:t>
            </w:r>
            <w:r w:rsidRPr="00CF396B">
              <w:rPr>
                <w:rFonts w:ascii="Arial" w:hAnsi="Arial"/>
                <w:b/>
                <w:sz w:val="18"/>
                <w:vertAlign w:val="subscript"/>
              </w:rPr>
              <w:t>detect,NR_Inter,</w:t>
            </w:r>
            <w:r w:rsidRPr="00CF396B">
              <w:rPr>
                <w:rFonts w:ascii="Arial" w:hAnsi="Arial"/>
                <w:b/>
                <w:sz w:val="18"/>
              </w:rPr>
              <w:t xml:space="preserve"> T</w:t>
            </w:r>
            <w:r w:rsidRPr="00CF396B">
              <w:rPr>
                <w:rFonts w:ascii="Arial" w:hAnsi="Arial"/>
                <w:b/>
                <w:sz w:val="18"/>
                <w:vertAlign w:val="subscript"/>
              </w:rPr>
              <w:t>measure,NR_Inter</w:t>
            </w:r>
            <w:r w:rsidRPr="00CF396B">
              <w:rPr>
                <w:rFonts w:ascii="Arial" w:hAnsi="Arial"/>
                <w:b/>
                <w:sz w:val="18"/>
              </w:rPr>
              <w:t xml:space="preserve"> and T</w:t>
            </w:r>
            <w:r w:rsidRPr="00CF396B">
              <w:rPr>
                <w:rFonts w:ascii="Arial" w:hAnsi="Arial"/>
                <w:b/>
                <w:sz w:val="18"/>
                <w:vertAlign w:val="subscript"/>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2165"/>
              <w:gridCol w:w="2434"/>
              <w:gridCol w:w="2508"/>
            </w:tblGrid>
            <w:tr w:rsidR="00CF396B" w:rsidRPr="00CF396B" w14:paraId="19DFC714" w14:textId="77777777" w:rsidTr="008C4E56">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8CDEF5E" w14:textId="77777777" w:rsidR="00CF396B" w:rsidRPr="00CF396B" w:rsidRDefault="00CF396B" w:rsidP="00CF396B">
                  <w:pPr>
                    <w:keepNext/>
                    <w:keepLines/>
                    <w:spacing w:after="0"/>
                    <w:jc w:val="center"/>
                    <w:rPr>
                      <w:sz w:val="18"/>
                    </w:rPr>
                  </w:pPr>
                  <w:r w:rsidRPr="00CF396B">
                    <w:rPr>
                      <w:rFonts w:ascii="Arial" w:hAnsi="Arial"/>
                      <w:b/>
                      <w:sz w:val="14"/>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6F64C4B5" w14:textId="77777777" w:rsidR="00CF396B" w:rsidRPr="00CF396B" w:rsidRDefault="00CF396B" w:rsidP="00CF396B">
                  <w:pPr>
                    <w:keepNext/>
                    <w:keepLines/>
                    <w:spacing w:after="0"/>
                    <w:jc w:val="center"/>
                    <w:rPr>
                      <w:sz w:val="18"/>
                    </w:rPr>
                  </w:pPr>
                  <w:r w:rsidRPr="00CF396B">
                    <w:rPr>
                      <w:rFonts w:ascii="Arial" w:hAnsi="Arial"/>
                      <w:b/>
                      <w:sz w:val="14"/>
                    </w:rPr>
                    <w:t>T</w:t>
                  </w:r>
                  <w:r w:rsidRPr="00CF396B">
                    <w:rPr>
                      <w:rFonts w:ascii="Arial" w:hAnsi="Arial"/>
                      <w:b/>
                      <w:sz w:val="14"/>
                      <w:vertAlign w:val="subscript"/>
                    </w:rPr>
                    <w:t>detect,NR_</w:t>
                  </w:r>
                  <w:r w:rsidRPr="00CF396B">
                    <w:rPr>
                      <w:rFonts w:ascii="Arial" w:hAnsi="Arial" w:cs="v4.2.0"/>
                      <w:b/>
                      <w:sz w:val="14"/>
                      <w:vertAlign w:val="subscript"/>
                    </w:rPr>
                    <w:t>Inter</w:t>
                  </w:r>
                  <w:r w:rsidRPr="00CF396B">
                    <w:rPr>
                      <w:rFonts w:ascii="Arial" w:hAnsi="Arial"/>
                      <w:b/>
                      <w:sz w:val="14"/>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07DB529C" w14:textId="77777777" w:rsidR="00CF396B" w:rsidRPr="00CF396B" w:rsidRDefault="00CF396B" w:rsidP="00CF396B">
                  <w:pPr>
                    <w:keepNext/>
                    <w:keepLines/>
                    <w:spacing w:after="0"/>
                    <w:jc w:val="center"/>
                    <w:rPr>
                      <w:sz w:val="18"/>
                    </w:rPr>
                  </w:pPr>
                  <w:r w:rsidRPr="00CF396B">
                    <w:rPr>
                      <w:rFonts w:ascii="Arial" w:hAnsi="Arial"/>
                      <w:b/>
                      <w:sz w:val="14"/>
                    </w:rPr>
                    <w:t>T</w:t>
                  </w:r>
                  <w:r w:rsidRPr="00CF396B">
                    <w:rPr>
                      <w:rFonts w:ascii="Arial" w:hAnsi="Arial"/>
                      <w:b/>
                      <w:sz w:val="14"/>
                      <w:vertAlign w:val="subscript"/>
                    </w:rPr>
                    <w:t>measure,NR_</w:t>
                  </w:r>
                  <w:r w:rsidRPr="00CF396B">
                    <w:rPr>
                      <w:rFonts w:ascii="Arial" w:hAnsi="Arial" w:cs="v4.2.0"/>
                      <w:b/>
                      <w:sz w:val="14"/>
                      <w:vertAlign w:val="subscript"/>
                    </w:rPr>
                    <w:t>Inter</w:t>
                  </w:r>
                  <w:r w:rsidRPr="00CF396B">
                    <w:rPr>
                      <w:rFonts w:ascii="Arial" w:hAnsi="Arial"/>
                      <w:b/>
                      <w:sz w:val="14"/>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03FCF215" w14:textId="77777777" w:rsidR="00CF396B" w:rsidRPr="00CF396B" w:rsidRDefault="00CF396B" w:rsidP="00CF396B">
                  <w:pPr>
                    <w:keepNext/>
                    <w:keepLines/>
                    <w:spacing w:after="0"/>
                    <w:jc w:val="center"/>
                    <w:rPr>
                      <w:sz w:val="18"/>
                    </w:rPr>
                  </w:pPr>
                  <w:r w:rsidRPr="00CF396B">
                    <w:rPr>
                      <w:sz w:val="18"/>
                    </w:rPr>
                    <w:t>T</w:t>
                  </w:r>
                  <w:r w:rsidRPr="00CF396B">
                    <w:rPr>
                      <w:sz w:val="18"/>
                      <w:vertAlign w:val="subscript"/>
                    </w:rPr>
                    <w:t>evaluate,NR_</w:t>
                  </w:r>
                  <w:r w:rsidRPr="00CF396B">
                    <w:rPr>
                      <w:rFonts w:ascii="Arial" w:hAnsi="Arial" w:cs="v4.2.0"/>
                      <w:b/>
                      <w:sz w:val="14"/>
                      <w:vertAlign w:val="subscript"/>
                    </w:rPr>
                    <w:t>Inter</w:t>
                  </w:r>
                  <w:r w:rsidRPr="00CF396B">
                    <w:rPr>
                      <w:rFonts w:ascii="Arial" w:hAnsi="Arial" w:cs="Arial"/>
                      <w:b/>
                      <w:sz w:val="14"/>
                    </w:rPr>
                    <w:t xml:space="preserve"> </w:t>
                  </w:r>
                  <w:r w:rsidRPr="00CF396B">
                    <w:rPr>
                      <w:rFonts w:ascii="Arial" w:hAnsi="Arial"/>
                      <w:b/>
                      <w:sz w:val="14"/>
                    </w:rPr>
                    <w:t>[s] (number of DRX cycles)</w:t>
                  </w:r>
                </w:p>
              </w:tc>
            </w:tr>
            <w:tr w:rsidR="00CF396B" w:rsidRPr="00CF396B" w14:paraId="1951430B" w14:textId="77777777" w:rsidTr="008C4E56">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8E50DA0" w14:textId="77777777" w:rsidR="00CF396B" w:rsidRPr="00CF396B" w:rsidRDefault="00CF396B" w:rsidP="00CF396B">
                  <w:pPr>
                    <w:keepNext/>
                    <w:keepLines/>
                    <w:spacing w:after="0"/>
                    <w:jc w:val="center"/>
                    <w:rPr>
                      <w:sz w:val="18"/>
                    </w:rPr>
                  </w:pPr>
                  <w:r w:rsidRPr="00CF396B">
                    <w:rPr>
                      <w:rFonts w:ascii="Arial" w:hAnsi="Arial"/>
                      <w:sz w:val="14"/>
                    </w:rPr>
                    <w:t>0.32</w:t>
                  </w:r>
                </w:p>
              </w:tc>
              <w:tc>
                <w:tcPr>
                  <w:tcW w:w="1268" w:type="pct"/>
                  <w:tcBorders>
                    <w:top w:val="single" w:sz="4" w:space="0" w:color="auto"/>
                    <w:left w:val="single" w:sz="4" w:space="0" w:color="auto"/>
                    <w:bottom w:val="single" w:sz="4" w:space="0" w:color="auto"/>
                    <w:right w:val="single" w:sz="4" w:space="0" w:color="auto"/>
                  </w:tcBorders>
                  <w:hideMark/>
                </w:tcPr>
                <w:p w14:paraId="46489847" w14:textId="77777777" w:rsidR="00CF396B" w:rsidRPr="00CF396B" w:rsidRDefault="00CF396B" w:rsidP="00CF396B">
                  <w:pPr>
                    <w:keepNext/>
                    <w:keepLines/>
                    <w:spacing w:after="0"/>
                    <w:jc w:val="center"/>
                    <w:rPr>
                      <w:sz w:val="18"/>
                    </w:rPr>
                  </w:pPr>
                  <w:r w:rsidRPr="00CF396B">
                    <w:rPr>
                      <w:rFonts w:ascii="Arial" w:hAnsi="Arial"/>
                      <w:sz w:val="14"/>
                    </w:rPr>
                    <w:t xml:space="preserve">11.52 x N1 </w:t>
                  </w:r>
                  <w:r w:rsidRPr="00CF396B">
                    <w:rPr>
                      <w:rFonts w:ascii="Arial" w:hAnsi="Arial" w:cs="Arial"/>
                      <w:sz w:val="14"/>
                    </w:rPr>
                    <w:t xml:space="preserve">x 1.5 x </w:t>
                  </w:r>
                  <w:r w:rsidRPr="00CF396B">
                    <w:rPr>
                      <w:rFonts w:ascii="Arial" w:hAnsi="Arial"/>
                      <w:sz w:val="14"/>
                    </w:rPr>
                    <w:t>[36 x N1</w:t>
                  </w:r>
                  <w:r w:rsidRPr="00CF396B">
                    <w:rPr>
                      <w:rFonts w:ascii="Arial" w:hAnsi="Arial" w:cs="Arial"/>
                      <w:sz w:val="14"/>
                    </w:rPr>
                    <w:t xml:space="preserve"> x 1.5</w:t>
                  </w:r>
                  <w:r w:rsidRPr="00CF396B">
                    <w:rPr>
                      <w:rFonts w:ascii="Arial" w:hAnsi="Arial"/>
                      <w:sz w:val="14"/>
                    </w:rPr>
                    <w:t>]</w:t>
                  </w:r>
                </w:p>
              </w:tc>
              <w:tc>
                <w:tcPr>
                  <w:tcW w:w="1426" w:type="pct"/>
                  <w:tcBorders>
                    <w:top w:val="single" w:sz="4" w:space="0" w:color="auto"/>
                    <w:left w:val="single" w:sz="4" w:space="0" w:color="auto"/>
                    <w:bottom w:val="single" w:sz="4" w:space="0" w:color="auto"/>
                    <w:right w:val="single" w:sz="4" w:space="0" w:color="auto"/>
                  </w:tcBorders>
                  <w:hideMark/>
                </w:tcPr>
                <w:p w14:paraId="6A06BDDF" w14:textId="77777777" w:rsidR="00CF396B" w:rsidRPr="00CF396B" w:rsidRDefault="00CF396B" w:rsidP="00CF396B">
                  <w:pPr>
                    <w:keepNext/>
                    <w:keepLines/>
                    <w:spacing w:after="0"/>
                    <w:jc w:val="center"/>
                    <w:rPr>
                      <w:sz w:val="18"/>
                    </w:rPr>
                  </w:pPr>
                  <w:r w:rsidRPr="00CF396B">
                    <w:rPr>
                      <w:rFonts w:ascii="Arial" w:hAnsi="Arial"/>
                      <w:sz w:val="14"/>
                    </w:rPr>
                    <w:t xml:space="preserve">1.28 x N1 </w:t>
                  </w:r>
                  <w:r w:rsidRPr="00CF396B">
                    <w:rPr>
                      <w:rFonts w:ascii="Arial" w:hAnsi="Arial" w:cs="Arial"/>
                      <w:sz w:val="14"/>
                    </w:rPr>
                    <w:t xml:space="preserve">x 1.5 </w:t>
                  </w:r>
                  <w:r w:rsidRPr="00CF396B">
                    <w:rPr>
                      <w:rFonts w:ascii="Arial" w:hAnsi="Arial"/>
                      <w:sz w:val="14"/>
                    </w:rPr>
                    <w:t>(4 x N1</w:t>
                  </w:r>
                  <w:r w:rsidRPr="00CF396B">
                    <w:rPr>
                      <w:rFonts w:ascii="Arial" w:hAnsi="Arial" w:cs="Arial"/>
                      <w:sz w:val="14"/>
                    </w:rPr>
                    <w:t xml:space="preserve"> x 1.5</w:t>
                  </w:r>
                  <w:r w:rsidRPr="00CF396B">
                    <w:rPr>
                      <w:rFonts w:ascii="Arial" w:hAnsi="Arial"/>
                      <w:sz w:val="14"/>
                    </w:rPr>
                    <w:t>)</w:t>
                  </w:r>
                </w:p>
              </w:tc>
              <w:tc>
                <w:tcPr>
                  <w:tcW w:w="1469" w:type="pct"/>
                  <w:tcBorders>
                    <w:top w:val="single" w:sz="4" w:space="0" w:color="auto"/>
                    <w:left w:val="single" w:sz="4" w:space="0" w:color="auto"/>
                    <w:bottom w:val="single" w:sz="4" w:space="0" w:color="auto"/>
                    <w:right w:val="single" w:sz="4" w:space="0" w:color="auto"/>
                  </w:tcBorders>
                  <w:hideMark/>
                </w:tcPr>
                <w:p w14:paraId="1FAF0B4D" w14:textId="77777777" w:rsidR="00CF396B" w:rsidRPr="00CF396B" w:rsidRDefault="00CF396B" w:rsidP="00CF396B">
                  <w:pPr>
                    <w:keepNext/>
                    <w:keepLines/>
                    <w:spacing w:after="0"/>
                    <w:jc w:val="center"/>
                    <w:rPr>
                      <w:sz w:val="18"/>
                    </w:rPr>
                  </w:pPr>
                  <w:r w:rsidRPr="00CF396B">
                    <w:rPr>
                      <w:rFonts w:ascii="Arial" w:hAnsi="Arial"/>
                      <w:sz w:val="14"/>
                    </w:rPr>
                    <w:t xml:space="preserve">5.12 x N1 </w:t>
                  </w:r>
                  <w:r w:rsidRPr="00CF396B">
                    <w:rPr>
                      <w:rFonts w:ascii="Arial" w:hAnsi="Arial" w:cs="Arial"/>
                      <w:sz w:val="14"/>
                    </w:rPr>
                    <w:t xml:space="preserve">x 1.5 </w:t>
                  </w:r>
                  <w:r w:rsidRPr="00CF396B">
                    <w:rPr>
                      <w:rFonts w:ascii="Arial" w:hAnsi="Arial"/>
                      <w:sz w:val="14"/>
                    </w:rPr>
                    <w:t>(16 x N1</w:t>
                  </w:r>
                  <w:r w:rsidRPr="00CF396B">
                    <w:rPr>
                      <w:rFonts w:ascii="Arial" w:hAnsi="Arial" w:cs="Arial"/>
                      <w:sz w:val="14"/>
                    </w:rPr>
                    <w:t xml:space="preserve"> x 1.5</w:t>
                  </w:r>
                  <w:r w:rsidRPr="00CF396B">
                    <w:rPr>
                      <w:rFonts w:ascii="Arial" w:hAnsi="Arial"/>
                      <w:sz w:val="14"/>
                    </w:rPr>
                    <w:t>)</w:t>
                  </w:r>
                </w:p>
              </w:tc>
            </w:tr>
            <w:tr w:rsidR="00CF396B" w:rsidRPr="00CF396B" w14:paraId="22465F3D" w14:textId="77777777" w:rsidTr="008C4E56">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D85CE11" w14:textId="77777777" w:rsidR="00CF396B" w:rsidRPr="00CF396B" w:rsidRDefault="00CF396B" w:rsidP="00CF396B">
                  <w:pPr>
                    <w:keepNext/>
                    <w:keepLines/>
                    <w:spacing w:after="0"/>
                    <w:jc w:val="center"/>
                    <w:rPr>
                      <w:sz w:val="18"/>
                    </w:rPr>
                  </w:pPr>
                  <w:r w:rsidRPr="00CF396B">
                    <w:rPr>
                      <w:rFonts w:ascii="Arial" w:hAnsi="Arial"/>
                      <w:sz w:val="14"/>
                    </w:rPr>
                    <w:t>0.64</w:t>
                  </w:r>
                </w:p>
              </w:tc>
              <w:tc>
                <w:tcPr>
                  <w:tcW w:w="1268" w:type="pct"/>
                  <w:tcBorders>
                    <w:top w:val="single" w:sz="4" w:space="0" w:color="auto"/>
                    <w:left w:val="single" w:sz="4" w:space="0" w:color="auto"/>
                    <w:bottom w:val="single" w:sz="4" w:space="0" w:color="auto"/>
                    <w:right w:val="single" w:sz="4" w:space="0" w:color="auto"/>
                  </w:tcBorders>
                  <w:hideMark/>
                </w:tcPr>
                <w:p w14:paraId="713F508B" w14:textId="77777777" w:rsidR="00CF396B" w:rsidRPr="00CF396B" w:rsidRDefault="00CF396B" w:rsidP="00CF396B">
                  <w:pPr>
                    <w:keepNext/>
                    <w:keepLines/>
                    <w:spacing w:after="0"/>
                    <w:jc w:val="center"/>
                    <w:rPr>
                      <w:sz w:val="18"/>
                    </w:rPr>
                  </w:pPr>
                  <w:r w:rsidRPr="00CF396B">
                    <w:rPr>
                      <w:rFonts w:ascii="Arial" w:hAnsi="Arial"/>
                      <w:sz w:val="14"/>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2501D3B1" w14:textId="77777777" w:rsidR="00CF396B" w:rsidRPr="00CF396B" w:rsidRDefault="00CF396B" w:rsidP="00CF396B">
                  <w:pPr>
                    <w:keepNext/>
                    <w:keepLines/>
                    <w:spacing w:after="0"/>
                    <w:jc w:val="center"/>
                    <w:rPr>
                      <w:sz w:val="18"/>
                    </w:rPr>
                  </w:pPr>
                  <w:r w:rsidRPr="00CF396B">
                    <w:rPr>
                      <w:rFonts w:ascii="Arial" w:hAnsi="Arial"/>
                      <w:sz w:val="14"/>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5222F60E" w14:textId="77777777" w:rsidR="00CF396B" w:rsidRPr="00CF396B" w:rsidRDefault="00CF396B" w:rsidP="00CF396B">
                  <w:pPr>
                    <w:keepNext/>
                    <w:keepLines/>
                    <w:spacing w:after="0"/>
                    <w:jc w:val="center"/>
                    <w:rPr>
                      <w:sz w:val="18"/>
                    </w:rPr>
                  </w:pPr>
                  <w:r w:rsidRPr="00CF396B">
                    <w:rPr>
                      <w:rFonts w:ascii="Arial" w:hAnsi="Arial"/>
                      <w:sz w:val="14"/>
                    </w:rPr>
                    <w:t>5.12 x N1 (8 x N1)</w:t>
                  </w:r>
                </w:p>
              </w:tc>
            </w:tr>
            <w:tr w:rsidR="00CF396B" w:rsidRPr="00CF396B" w14:paraId="7002637F" w14:textId="77777777" w:rsidTr="008C4E56">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00C06D13" w14:textId="77777777" w:rsidR="00CF396B" w:rsidRPr="00CF396B" w:rsidRDefault="00CF396B" w:rsidP="00CF396B">
                  <w:pPr>
                    <w:keepNext/>
                    <w:keepLines/>
                    <w:spacing w:after="0"/>
                    <w:jc w:val="center"/>
                    <w:rPr>
                      <w:sz w:val="18"/>
                    </w:rPr>
                  </w:pPr>
                  <w:r w:rsidRPr="00CF396B">
                    <w:rPr>
                      <w:rFonts w:ascii="Arial" w:hAnsi="Arial"/>
                      <w:sz w:val="14"/>
                    </w:rPr>
                    <w:t>1.28</w:t>
                  </w:r>
                </w:p>
              </w:tc>
              <w:tc>
                <w:tcPr>
                  <w:tcW w:w="1268" w:type="pct"/>
                  <w:tcBorders>
                    <w:top w:val="single" w:sz="4" w:space="0" w:color="auto"/>
                    <w:left w:val="single" w:sz="4" w:space="0" w:color="auto"/>
                    <w:bottom w:val="single" w:sz="4" w:space="0" w:color="auto"/>
                    <w:right w:val="single" w:sz="4" w:space="0" w:color="auto"/>
                  </w:tcBorders>
                  <w:hideMark/>
                </w:tcPr>
                <w:p w14:paraId="71251112" w14:textId="77777777" w:rsidR="00CF396B" w:rsidRPr="00CF396B" w:rsidRDefault="00CF396B" w:rsidP="00CF396B">
                  <w:pPr>
                    <w:keepNext/>
                    <w:keepLines/>
                    <w:spacing w:after="0"/>
                    <w:jc w:val="center"/>
                    <w:rPr>
                      <w:sz w:val="18"/>
                    </w:rPr>
                  </w:pPr>
                  <w:r w:rsidRPr="00CF396B">
                    <w:rPr>
                      <w:rFonts w:ascii="Arial" w:hAnsi="Arial"/>
                      <w:sz w:val="14"/>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360CCEF6" w14:textId="77777777" w:rsidR="00CF396B" w:rsidRPr="00CF396B" w:rsidRDefault="00CF396B" w:rsidP="00CF396B">
                  <w:pPr>
                    <w:keepNext/>
                    <w:keepLines/>
                    <w:spacing w:after="0"/>
                    <w:jc w:val="center"/>
                    <w:rPr>
                      <w:sz w:val="18"/>
                    </w:rPr>
                  </w:pPr>
                  <w:r w:rsidRPr="00CF396B">
                    <w:rPr>
                      <w:rFonts w:ascii="Arial" w:hAnsi="Arial"/>
                      <w:sz w:val="14"/>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246C7648" w14:textId="77777777" w:rsidR="00CF396B" w:rsidRPr="00CF396B" w:rsidRDefault="00CF396B" w:rsidP="00CF396B">
                  <w:pPr>
                    <w:keepNext/>
                    <w:keepLines/>
                    <w:spacing w:after="0"/>
                    <w:jc w:val="center"/>
                    <w:rPr>
                      <w:sz w:val="18"/>
                    </w:rPr>
                  </w:pPr>
                  <w:r w:rsidRPr="00CF396B">
                    <w:rPr>
                      <w:rFonts w:ascii="Arial" w:hAnsi="Arial"/>
                      <w:sz w:val="14"/>
                    </w:rPr>
                    <w:t>6.4 x N1 (5 x N1)</w:t>
                  </w:r>
                </w:p>
              </w:tc>
            </w:tr>
            <w:tr w:rsidR="00CF396B" w:rsidRPr="00CF396B" w14:paraId="6A2F835C" w14:textId="77777777" w:rsidTr="008C4E56">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6AFF9F2" w14:textId="77777777" w:rsidR="00CF396B" w:rsidRPr="00CF396B" w:rsidRDefault="00CF396B" w:rsidP="00CF396B">
                  <w:pPr>
                    <w:keepNext/>
                    <w:keepLines/>
                    <w:spacing w:after="0"/>
                    <w:jc w:val="center"/>
                    <w:rPr>
                      <w:sz w:val="18"/>
                    </w:rPr>
                  </w:pPr>
                  <w:r w:rsidRPr="00CF396B">
                    <w:rPr>
                      <w:rFonts w:ascii="Arial" w:hAnsi="Arial"/>
                      <w:sz w:val="14"/>
                    </w:rPr>
                    <w:t>2.56</w:t>
                  </w:r>
                </w:p>
              </w:tc>
              <w:tc>
                <w:tcPr>
                  <w:tcW w:w="1268" w:type="pct"/>
                  <w:tcBorders>
                    <w:top w:val="single" w:sz="4" w:space="0" w:color="auto"/>
                    <w:left w:val="single" w:sz="4" w:space="0" w:color="auto"/>
                    <w:bottom w:val="single" w:sz="4" w:space="0" w:color="auto"/>
                    <w:right w:val="single" w:sz="4" w:space="0" w:color="auto"/>
                  </w:tcBorders>
                  <w:hideMark/>
                </w:tcPr>
                <w:p w14:paraId="481487AA" w14:textId="77777777" w:rsidR="00CF396B" w:rsidRPr="00CF396B" w:rsidRDefault="00CF396B" w:rsidP="00CF396B">
                  <w:pPr>
                    <w:keepNext/>
                    <w:keepLines/>
                    <w:spacing w:after="0"/>
                    <w:jc w:val="center"/>
                    <w:rPr>
                      <w:sz w:val="18"/>
                    </w:rPr>
                  </w:pPr>
                  <w:r w:rsidRPr="00CF396B">
                    <w:rPr>
                      <w:rFonts w:ascii="Arial" w:hAnsi="Arial"/>
                      <w:sz w:val="14"/>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56A55AED" w14:textId="77777777" w:rsidR="00CF396B" w:rsidRPr="00CF396B" w:rsidRDefault="00CF396B" w:rsidP="00CF396B">
                  <w:pPr>
                    <w:keepNext/>
                    <w:keepLines/>
                    <w:spacing w:after="0"/>
                    <w:jc w:val="center"/>
                    <w:rPr>
                      <w:sz w:val="18"/>
                    </w:rPr>
                  </w:pPr>
                  <w:r w:rsidRPr="00CF396B">
                    <w:rPr>
                      <w:rFonts w:ascii="Arial" w:hAnsi="Arial"/>
                      <w:sz w:val="14"/>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209E0B98" w14:textId="77777777" w:rsidR="00CF396B" w:rsidRPr="00CF396B" w:rsidRDefault="00CF396B" w:rsidP="00CF396B">
                  <w:pPr>
                    <w:keepNext/>
                    <w:keepLines/>
                    <w:spacing w:after="0"/>
                    <w:jc w:val="center"/>
                    <w:rPr>
                      <w:sz w:val="18"/>
                    </w:rPr>
                  </w:pPr>
                  <w:r w:rsidRPr="00CF396B">
                    <w:rPr>
                      <w:rFonts w:ascii="Arial" w:hAnsi="Arial"/>
                      <w:sz w:val="14"/>
                    </w:rPr>
                    <w:t>7.68 x N1 (3 x N1)</w:t>
                  </w:r>
                </w:p>
              </w:tc>
            </w:tr>
            <w:tr w:rsidR="00CF396B" w:rsidRPr="00CF396B" w14:paraId="193CDF88" w14:textId="77777777" w:rsidTr="008C4E5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BCF42A7" w14:textId="77777777" w:rsidR="00CF396B" w:rsidRPr="00CF396B" w:rsidRDefault="00CF396B" w:rsidP="00CF396B">
                  <w:pPr>
                    <w:keepNext/>
                    <w:keepLines/>
                    <w:spacing w:after="0"/>
                    <w:ind w:left="851" w:hanging="851"/>
                    <w:rPr>
                      <w:sz w:val="18"/>
                    </w:rPr>
                  </w:pPr>
                  <w:r w:rsidRPr="00CF396B">
                    <w:rPr>
                      <w:rFonts w:ascii="Arial" w:hAnsi="Arial"/>
                      <w:snapToGrid w:val="0"/>
                      <w:sz w:val="14"/>
                    </w:rPr>
                    <w:t>N</w:t>
                  </w:r>
                  <w:r w:rsidRPr="00CF396B">
                    <w:rPr>
                      <w:rFonts w:ascii="Arial" w:hAnsi="Arial" w:hint="eastAsia"/>
                      <w:snapToGrid w:val="0"/>
                      <w:sz w:val="14"/>
                    </w:rPr>
                    <w:t>ote1</w:t>
                  </w:r>
                  <w:r w:rsidRPr="00CF396B">
                    <w:rPr>
                      <w:rFonts w:ascii="Arial" w:hAnsi="Arial"/>
                      <w:sz w:val="14"/>
                    </w:rPr>
                    <w:t>:</w:t>
                  </w:r>
                  <w:r w:rsidRPr="00CF396B">
                    <w:rPr>
                      <w:rFonts w:ascii="Arial" w:hAnsi="Arial"/>
                      <w:sz w:val="14"/>
                    </w:rPr>
                    <w:tab/>
                    <w:t>N1=[TBD] for frequency range FR2, and N1=1 for frequency range FR1.</w:t>
                  </w:r>
                </w:p>
              </w:tc>
            </w:tr>
          </w:tbl>
          <w:p w14:paraId="4F58163C" w14:textId="77777777" w:rsidR="00CF396B" w:rsidRPr="00CF396B" w:rsidRDefault="00CF396B" w:rsidP="00CF396B">
            <w:pPr>
              <w:rPr>
                <w:noProof/>
                <w:sz w:val="18"/>
              </w:rPr>
            </w:pPr>
          </w:p>
          <w:p w14:paraId="6821D28A" w14:textId="6D320DB9" w:rsidR="007C5EEF" w:rsidRPr="007C5EEF" w:rsidRDefault="00CF396B" w:rsidP="00CF396B">
            <w:pPr>
              <w:rPr>
                <w:rFonts w:ascii="Arial" w:hAnsi="Arial" w:cs="Arial"/>
              </w:rPr>
            </w:pPr>
            <w:r w:rsidRPr="00CF396B">
              <w:rPr>
                <w:i/>
                <w:noProof/>
                <w:sz w:val="18"/>
                <w:highlight w:val="yellow"/>
              </w:rPr>
              <w:t>Editor’s Note: It is FFS how to address the scenario when SMTC periodicity = 160 ms and DRX cycles = 320 ms in both intra-frequency and inter-frequency carriers, and also SMTC durations fully collide on both intra-frequency and inter-frequency carriers.</w:t>
            </w:r>
          </w:p>
        </w:tc>
      </w:tr>
    </w:tbl>
    <w:p w14:paraId="1917A111" w14:textId="53057644" w:rsidR="0091441D" w:rsidRDefault="00BA0FF7" w:rsidP="007C5EEF">
      <w:pPr>
        <w:spacing w:before="120"/>
        <w:jc w:val="both"/>
      </w:pPr>
      <w:r>
        <w:t xml:space="preserve"> </w:t>
      </w:r>
      <w:r w:rsidR="00CD356A">
        <w:t xml:space="preserve">In this paper, we </w:t>
      </w:r>
      <w:r w:rsidR="0091441D">
        <w:t>will</w:t>
      </w:r>
      <w:r w:rsidR="002927DE">
        <w:t xml:space="preserve"> </w:t>
      </w:r>
      <w:r w:rsidR="00281C59">
        <w:t xml:space="preserve">continue </w:t>
      </w:r>
      <w:r w:rsidR="00CD356A">
        <w:t>discuss</w:t>
      </w:r>
      <w:r w:rsidR="00DE7BE6">
        <w:t>ing</w:t>
      </w:r>
      <w:r w:rsidR="00CD356A">
        <w:t xml:space="preserve"> the </w:t>
      </w:r>
      <w:r w:rsidR="00DE7B44">
        <w:rPr>
          <w:noProof/>
        </w:rPr>
        <w:t>IDLE</w:t>
      </w:r>
      <w:r w:rsidR="00DE7B44" w:rsidDel="00DE7B44">
        <w:t xml:space="preserve"> </w:t>
      </w:r>
      <w:r w:rsidR="00D37828">
        <w:t xml:space="preserve">mode </w:t>
      </w:r>
      <w:r w:rsidR="00301111">
        <w:t>requirement</w:t>
      </w:r>
      <w:r w:rsidR="00CD356A">
        <w:t xml:space="preserve"> </w:t>
      </w:r>
      <w:r w:rsidR="0091441D">
        <w:t xml:space="preserve">based on </w:t>
      </w:r>
      <w:r w:rsidR="00D37828">
        <w:t xml:space="preserve">the </w:t>
      </w:r>
      <w:r w:rsidR="00CF396B">
        <w:t>agreed CR</w:t>
      </w:r>
      <w:r w:rsidR="00CD356A">
        <w:t>.</w:t>
      </w:r>
    </w:p>
    <w:p w14:paraId="3A8ACA84" w14:textId="5CDF0B2E" w:rsidR="0091441D" w:rsidRDefault="00DE7B44" w:rsidP="0091441D">
      <w:pPr>
        <w:pStyle w:val="1"/>
        <w:numPr>
          <w:ilvl w:val="0"/>
          <w:numId w:val="2"/>
        </w:numPr>
        <w:rPr>
          <w:rFonts w:ascii="Calibri" w:hAnsi="Calibri"/>
        </w:rPr>
      </w:pPr>
      <w:r w:rsidRPr="00251E0A">
        <w:rPr>
          <w:rFonts w:ascii="Calibri" w:hAnsi="Calibri"/>
        </w:rPr>
        <w:t>IDLE</w:t>
      </w:r>
      <w:r w:rsidRPr="0091441D" w:rsidDel="00DE7B44">
        <w:rPr>
          <w:rFonts w:ascii="Calibri" w:hAnsi="Calibri"/>
        </w:rPr>
        <w:t xml:space="preserve"> </w:t>
      </w:r>
      <w:r w:rsidR="0091441D" w:rsidRPr="0091441D">
        <w:rPr>
          <w:rFonts w:ascii="Calibri" w:hAnsi="Calibri"/>
        </w:rPr>
        <w:t>State Discussion</w:t>
      </w:r>
    </w:p>
    <w:p w14:paraId="0C9D0337" w14:textId="18CA80E1" w:rsidR="00326CC9" w:rsidRDefault="00066665" w:rsidP="00326CC9">
      <w:pPr>
        <w:jc w:val="both"/>
      </w:pPr>
      <w:r>
        <w:t xml:space="preserve">In </w:t>
      </w:r>
      <w:r w:rsidR="00DE7B44">
        <w:rPr>
          <w:noProof/>
        </w:rPr>
        <w:t>IDLE</w:t>
      </w:r>
      <w:r w:rsidR="00DE7B44" w:rsidDel="00DE7B44">
        <w:t xml:space="preserve"> </w:t>
      </w:r>
      <w:r>
        <w:t xml:space="preserve">mode, </w:t>
      </w:r>
      <w:r w:rsidR="00326CC9">
        <w:rPr>
          <w:rFonts w:cs="v4.2.0"/>
        </w:rPr>
        <w:t xml:space="preserve">UE has no possibility to measure collision inter-frequency layers when </w:t>
      </w:r>
      <w:r w:rsidR="00326CC9">
        <w:t xml:space="preserve">DRX cycle = 320ms and serving cell’s SMTC periodicity = 160ms in </w:t>
      </w:r>
      <w:r w:rsidR="00493F01">
        <w:t xml:space="preserve">the case of </w:t>
      </w:r>
      <w:r w:rsidR="00326CC9">
        <w:t>FDM</w:t>
      </w:r>
      <w:r w:rsidR="00493F01">
        <w:t>-ed SSB and PO</w:t>
      </w:r>
      <w:r w:rsidR="00326CC9">
        <w:t>.</w:t>
      </w:r>
      <w:r w:rsidR="00326CC9" w:rsidRPr="006A5593" w:rsidDel="00326CC9">
        <w:rPr>
          <w:rFonts w:cs="v4.2.0"/>
        </w:rPr>
        <w:t xml:space="preserve"> </w:t>
      </w:r>
      <w:r w:rsidR="00326CC9">
        <w:t xml:space="preserve">The UE needs to </w:t>
      </w:r>
      <w:r w:rsidR="00326CC9" w:rsidRPr="001D3864">
        <w:t>monitor</w:t>
      </w:r>
      <w:r w:rsidR="00326CC9">
        <w:t xml:space="preserve"> paging at every DRX On duration and </w:t>
      </w:r>
      <w:r w:rsidR="00326CC9" w:rsidRPr="00497694">
        <w:rPr>
          <w:rFonts w:cs="v4.2.0"/>
        </w:rPr>
        <w:t xml:space="preserve">measure the </w:t>
      </w:r>
      <w:r w:rsidR="00326CC9">
        <w:rPr>
          <w:rFonts w:cs="v4.2.0"/>
        </w:rPr>
        <w:t xml:space="preserve">serving cell also once in </w:t>
      </w:r>
      <w:r w:rsidR="00326CC9" w:rsidRPr="00497694">
        <w:rPr>
          <w:rFonts w:cs="v4.2.0"/>
        </w:rPr>
        <w:t xml:space="preserve">every DRX </w:t>
      </w:r>
      <w:r w:rsidR="00326CC9">
        <w:rPr>
          <w:rFonts w:cs="v4.2.0"/>
        </w:rPr>
        <w:t>Off duration</w:t>
      </w:r>
      <w:r w:rsidR="00326CC9">
        <w:t xml:space="preserve">. In this case, once there are some inter-frequency layers still need to be monitored and their SMTCs are collision with serving cell’s SMTC, the UE can’t find the suitable </w:t>
      </w:r>
      <w:r w:rsidR="00326CC9" w:rsidRPr="00251E0A">
        <w:t>SSB time location</w:t>
      </w:r>
      <w:r w:rsidR="00326CC9">
        <w:t xml:space="preserve"> to measure inter-frequencies, as illustrated by frequency layers 1 and 2 in </w:t>
      </w:r>
      <w:r w:rsidR="00326CC9">
        <w:fldChar w:fldCharType="begin"/>
      </w:r>
      <w:r w:rsidR="00326CC9">
        <w:instrText xml:space="preserve"> REF _Ref513576508 \h </w:instrText>
      </w:r>
      <w:r w:rsidR="00326CC9">
        <w:fldChar w:fldCharType="separate"/>
      </w:r>
      <w:r w:rsidR="009944A2" w:rsidRPr="00B0500D">
        <w:t xml:space="preserve">Figure </w:t>
      </w:r>
      <w:r w:rsidR="009944A2">
        <w:rPr>
          <w:noProof/>
        </w:rPr>
        <w:t>1</w:t>
      </w:r>
      <w:r w:rsidR="00326CC9">
        <w:fldChar w:fldCharType="end"/>
      </w:r>
      <w:r w:rsidR="00326CC9">
        <w:t>.</w:t>
      </w:r>
      <w:r w:rsidR="007663A0">
        <w:t xml:space="preserve"> </w:t>
      </w:r>
    </w:p>
    <w:p w14:paraId="7E911B2F" w14:textId="77777777" w:rsidR="00326CC9" w:rsidRDefault="00326CC9" w:rsidP="00326CC9">
      <w:pPr>
        <w:jc w:val="center"/>
      </w:pPr>
      <w:r>
        <w:object w:dxaOrig="10816" w:dyaOrig="4050" w14:anchorId="1FE4B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31.35pt" o:ole="">
            <v:imagedata r:id="rId8" o:title=""/>
          </v:shape>
          <o:OLEObject Type="Embed" ProgID="Visio.Drawing.15" ShapeID="_x0000_i1025" DrawAspect="Content" ObjectID="_1599661394" r:id="rId9"/>
        </w:object>
      </w:r>
    </w:p>
    <w:p w14:paraId="1FCCE1D9" w14:textId="68D670C9" w:rsidR="00326CC9" w:rsidRDefault="00326CC9" w:rsidP="00326CC9">
      <w:pPr>
        <w:pStyle w:val="af0"/>
        <w:jc w:val="both"/>
      </w:pPr>
      <w:bookmarkStart w:id="0" w:name="_Ref513576508"/>
      <w:r w:rsidRPr="00B0500D">
        <w:lastRenderedPageBreak/>
        <w:t xml:space="preserve">Figure </w:t>
      </w:r>
      <w:r w:rsidRPr="00B0500D">
        <w:fldChar w:fldCharType="begin"/>
      </w:r>
      <w:r w:rsidRPr="00251E0A">
        <w:instrText xml:space="preserve"> SEQ Figure \* ARABIC </w:instrText>
      </w:r>
      <w:r w:rsidRPr="00B0500D">
        <w:fldChar w:fldCharType="separate"/>
      </w:r>
      <w:r w:rsidR="009944A2">
        <w:rPr>
          <w:noProof/>
        </w:rPr>
        <w:t>1</w:t>
      </w:r>
      <w:r w:rsidRPr="00B0500D">
        <w:rPr>
          <w:noProof/>
        </w:rPr>
        <w:fldChar w:fldCharType="end"/>
      </w:r>
      <w:bookmarkEnd w:id="0"/>
      <w:r w:rsidRPr="00B0500D">
        <w:rPr>
          <w:lang w:val="en-US"/>
        </w:rPr>
        <w:t xml:space="preserve">. </w:t>
      </w:r>
      <w:r w:rsidRPr="00B0500D">
        <w:t>An example of</w:t>
      </w:r>
      <w:r>
        <w:t xml:space="preserve"> serving cell SMTC collision with inter-frequencies when SSB is FDMed with paging(DRX</w:t>
      </w:r>
      <w:r>
        <w:rPr>
          <w:lang w:val="en-US"/>
        </w:rPr>
        <w:t xml:space="preserve"> cycle</w:t>
      </w:r>
      <w:r>
        <w:t xml:space="preserve"> = 320ms, SMTC </w:t>
      </w:r>
      <w:r>
        <w:rPr>
          <w:lang w:val="en-US"/>
        </w:rPr>
        <w:t>periodicity</w:t>
      </w:r>
      <w:r>
        <w:t>= 160ms)</w:t>
      </w:r>
      <w:r>
        <w:rPr>
          <w:lang w:val="en-US"/>
        </w:rPr>
        <w:t xml:space="preserve">. </w:t>
      </w:r>
      <w:r>
        <w:t>Paging is monitored each DRX cycle in</w:t>
      </w:r>
      <w:r w:rsidRPr="003A3D56">
        <w:rPr>
          <w:color w:val="C00000"/>
        </w:rPr>
        <w:t xml:space="preserve"> Red </w:t>
      </w:r>
      <w:r>
        <w:t xml:space="preserve">color; serving cell </w:t>
      </w:r>
      <w:r w:rsidR="00CF396B">
        <w:rPr>
          <w:lang w:val="en-US"/>
        </w:rPr>
        <w:t>execute pre-sync</w:t>
      </w:r>
      <w:r>
        <w:t xml:space="preserve"> each DRX cycle in </w:t>
      </w:r>
      <w:r w:rsidRPr="003A3D56">
        <w:rPr>
          <w:color w:val="ED7D31" w:themeColor="accent2"/>
        </w:rPr>
        <w:t>Yellow</w:t>
      </w:r>
      <w:r>
        <w:t xml:space="preserve"> color.</w:t>
      </w:r>
    </w:p>
    <w:p w14:paraId="6A5A05FB" w14:textId="2BBF09A3" w:rsidR="00331903" w:rsidRPr="00F13D37" w:rsidRDefault="00CF396B" w:rsidP="00F13D37">
      <w:pPr>
        <w:jc w:val="both"/>
        <w:rPr>
          <w:b/>
          <w:szCs w:val="20"/>
          <w:u w:val="single"/>
          <w:lang w:val="x-none" w:eastAsia="x-none"/>
        </w:rPr>
      </w:pPr>
      <w:r>
        <w:rPr>
          <w:b/>
          <w:sz w:val="24"/>
          <w:u w:val="single"/>
        </w:rPr>
        <w:t>Switch margin for intra-frequency and inter-frequency SMTC collision</w:t>
      </w:r>
    </w:p>
    <w:p w14:paraId="38218A68" w14:textId="4D47BF1F" w:rsidR="00CF396B" w:rsidRDefault="00CF396B" w:rsidP="004F0D0D">
      <w:pPr>
        <w:jc w:val="both"/>
        <w:rPr>
          <w:vertAlign w:val="subscript"/>
        </w:rPr>
      </w:pPr>
      <w:r>
        <w:t>Furthermore, after receiving intra-frequency SMTC duration, UE still needs additional baseband processing time, such as cell identification or measurement. Next, UE can switch the RF to inter-frequency(intra-frequency) to execute cell search or measurement right after finishing intra-frequency(inter-frequency) process. Thus, UE still need a margin T</w:t>
      </w:r>
      <w:r w:rsidR="004F0D0D">
        <w:rPr>
          <w:vertAlign w:val="subscript"/>
        </w:rPr>
        <w:t>post_process</w:t>
      </w:r>
      <w:r>
        <w:t xml:space="preserve"> after receiving intra-frequency SMTC duration and before starting to receive inter-frequency SMTC, which includes intra-frequency(inter-frequency) baseband process time and RF switch shown as below.</w:t>
      </w:r>
    </w:p>
    <w:p w14:paraId="1D47A2A5" w14:textId="1605DBB8" w:rsidR="00CF396B" w:rsidRPr="00CF396B" w:rsidRDefault="00CF396B" w:rsidP="00CF396B">
      <w:pPr>
        <w:jc w:val="both"/>
      </w:pPr>
      <w:r>
        <w:t xml:space="preserve">UE can finish inter-frequency cell reselection when the </w:t>
      </w:r>
      <w:r w:rsidR="004F0D0D">
        <w:t>interval</w:t>
      </w:r>
      <w:r>
        <w:t xml:space="preserve"> between intra-frequency SMTC and inter-frequency SMTC is larger than the </w:t>
      </w:r>
      <w:r w:rsidR="004F0D0D">
        <w:t>T</w:t>
      </w:r>
      <w:r w:rsidR="004F0D0D">
        <w:rPr>
          <w:vertAlign w:val="subscript"/>
        </w:rPr>
        <w:t>post_process</w:t>
      </w:r>
      <w:r>
        <w:rPr>
          <w:vertAlign w:val="subscript"/>
        </w:rPr>
        <w:t xml:space="preserve"> </w:t>
      </w:r>
      <w:r>
        <w:t xml:space="preserve">in the figure below. To simplify the discussion, the RF switch time could be 0.5ms at all. The maximum </w:t>
      </w:r>
      <w:r w:rsidR="00F05BBF">
        <w:t>post</w:t>
      </w:r>
      <w:r>
        <w:t xml:space="preserve"> process time could be </w:t>
      </w:r>
      <w:r w:rsidRPr="00CF396B">
        <w:rPr>
          <w:highlight w:val="yellow"/>
        </w:rPr>
        <w:t>TBD</w:t>
      </w:r>
      <w:r>
        <w:t xml:space="preserve"> considering cell identification. </w:t>
      </w:r>
    </w:p>
    <w:p w14:paraId="25AA0669" w14:textId="693F7B52" w:rsidR="00CF396B" w:rsidRDefault="00CA60D2" w:rsidP="00CF396B">
      <w:pPr>
        <w:jc w:val="center"/>
      </w:pPr>
      <w:r>
        <w:object w:dxaOrig="10500" w:dyaOrig="2326" w14:anchorId="2B5B1B05">
          <v:shape id="_x0000_i1026" type="#_x0000_t75" style="width:424.5pt;height:93.9pt" o:ole="">
            <v:imagedata r:id="rId10" o:title=""/>
          </v:shape>
          <o:OLEObject Type="Embed" ProgID="Visio.Drawing.15" ShapeID="_x0000_i1026" DrawAspect="Content" ObjectID="_1599661395" r:id="rId11"/>
        </w:object>
      </w:r>
    </w:p>
    <w:p w14:paraId="0A4A7A76" w14:textId="181CD54B" w:rsidR="005F08F7" w:rsidRDefault="005F08F7" w:rsidP="00CF396B">
      <w:pPr>
        <w:pStyle w:val="af0"/>
        <w:jc w:val="center"/>
      </w:pPr>
      <w:r>
        <w:t xml:space="preserve">Figure </w:t>
      </w:r>
      <w:r w:rsidR="00593CEF">
        <w:fldChar w:fldCharType="begin"/>
      </w:r>
      <w:r w:rsidR="00593CEF">
        <w:instrText xml:space="preserve"> SEQ Figure \* ARABIC </w:instrText>
      </w:r>
      <w:r w:rsidR="00593CEF">
        <w:fldChar w:fldCharType="separate"/>
      </w:r>
      <w:r w:rsidR="009944A2">
        <w:rPr>
          <w:noProof/>
        </w:rPr>
        <w:t>2</w:t>
      </w:r>
      <w:r w:rsidR="00593CEF">
        <w:rPr>
          <w:noProof/>
        </w:rPr>
        <w:fldChar w:fldCharType="end"/>
      </w:r>
      <w:r>
        <w:rPr>
          <w:lang w:val="en-US"/>
        </w:rPr>
        <w:t xml:space="preserve">. </w:t>
      </w:r>
      <w:r w:rsidR="00CF396B">
        <w:rPr>
          <w:lang w:val="en-US"/>
        </w:rPr>
        <w:t>Intra-frequency and inter-frequency cell reselection switch margin</w:t>
      </w:r>
    </w:p>
    <w:p w14:paraId="673A79C7" w14:textId="0A1071C2" w:rsidR="00CF396B" w:rsidRPr="00CF396B" w:rsidRDefault="00CF396B" w:rsidP="00CF396B">
      <w:pPr>
        <w:pStyle w:val="af0"/>
        <w:rPr>
          <w:i/>
          <w:lang w:val="en-US"/>
        </w:rPr>
      </w:pPr>
      <w:bookmarkStart w:id="1" w:name="_Ref521415595"/>
      <w:r w:rsidRPr="00CF396B">
        <w:rPr>
          <w:i/>
          <w:lang w:val="en-US"/>
        </w:rPr>
        <w:t xml:space="preserve">Observation </w:t>
      </w:r>
      <w:r w:rsidRPr="00CF396B">
        <w:rPr>
          <w:i/>
          <w:lang w:val="en-US"/>
        </w:rPr>
        <w:fldChar w:fldCharType="begin"/>
      </w:r>
      <w:r w:rsidRPr="00CF396B">
        <w:rPr>
          <w:i/>
          <w:lang w:val="en-US"/>
        </w:rPr>
        <w:instrText xml:space="preserve"> SEQ Observation \* ARABIC </w:instrText>
      </w:r>
      <w:r w:rsidRPr="00CF396B">
        <w:rPr>
          <w:i/>
          <w:lang w:val="en-US"/>
        </w:rPr>
        <w:fldChar w:fldCharType="separate"/>
      </w:r>
      <w:r w:rsidR="009944A2">
        <w:rPr>
          <w:i/>
          <w:noProof/>
          <w:lang w:val="en-US"/>
        </w:rPr>
        <w:t>1</w:t>
      </w:r>
      <w:r w:rsidRPr="00CF396B">
        <w:rPr>
          <w:i/>
          <w:lang w:val="en-US"/>
        </w:rPr>
        <w:fldChar w:fldCharType="end"/>
      </w:r>
      <w:r w:rsidRPr="00CF396B">
        <w:rPr>
          <w:i/>
          <w:lang w:val="en-US"/>
        </w:rPr>
        <w:t>: UE cannot execute inter-frequency measurement even when intra-frequency SMTC duration is non-overlapped with intra-frequency SMTC duration.</w:t>
      </w:r>
    </w:p>
    <w:p w14:paraId="547C68B3" w14:textId="424219F1" w:rsidR="009944A2" w:rsidRPr="00CF396B" w:rsidRDefault="00F13D37" w:rsidP="009944A2">
      <w:pPr>
        <w:rPr>
          <w:b/>
          <w:i/>
          <w:sz w:val="18"/>
          <w:szCs w:val="20"/>
          <w:lang w:eastAsia="x-none"/>
        </w:rPr>
      </w:pPr>
      <w:r w:rsidRPr="00F13D37">
        <w:rPr>
          <w:b/>
          <w:i/>
          <w:sz w:val="20"/>
          <w:szCs w:val="20"/>
          <w:lang w:eastAsia="x-none"/>
        </w:rPr>
        <w:t xml:space="preserve">Proposal </w:t>
      </w:r>
      <w:r w:rsidRPr="00F13D37">
        <w:rPr>
          <w:b/>
          <w:i/>
          <w:sz w:val="20"/>
          <w:szCs w:val="20"/>
          <w:lang w:eastAsia="x-none"/>
        </w:rPr>
        <w:fldChar w:fldCharType="begin"/>
      </w:r>
      <w:r w:rsidRPr="00F13D37">
        <w:rPr>
          <w:b/>
          <w:i/>
          <w:sz w:val="20"/>
          <w:szCs w:val="20"/>
          <w:lang w:eastAsia="x-none"/>
        </w:rPr>
        <w:instrText xml:space="preserve"> SEQ Proposal \* ARABIC </w:instrText>
      </w:r>
      <w:r w:rsidRPr="00F13D37">
        <w:rPr>
          <w:b/>
          <w:i/>
          <w:sz w:val="20"/>
          <w:szCs w:val="20"/>
          <w:lang w:eastAsia="x-none"/>
        </w:rPr>
        <w:fldChar w:fldCharType="separate"/>
      </w:r>
      <w:r w:rsidR="009944A2">
        <w:rPr>
          <w:b/>
          <w:i/>
          <w:noProof/>
          <w:sz w:val="20"/>
          <w:szCs w:val="20"/>
          <w:lang w:eastAsia="x-none"/>
        </w:rPr>
        <w:t>1</w:t>
      </w:r>
      <w:r w:rsidRPr="00F13D37">
        <w:rPr>
          <w:b/>
          <w:i/>
          <w:sz w:val="20"/>
          <w:szCs w:val="20"/>
          <w:lang w:eastAsia="x-none"/>
        </w:rPr>
        <w:fldChar w:fldCharType="end"/>
      </w:r>
      <w:r w:rsidRPr="00F13D37">
        <w:rPr>
          <w:b/>
          <w:i/>
          <w:sz w:val="20"/>
          <w:szCs w:val="20"/>
          <w:lang w:eastAsia="x-none"/>
        </w:rPr>
        <w:t xml:space="preserve">: The </w:t>
      </w:r>
      <w:r w:rsidR="005F6791">
        <w:rPr>
          <w:b/>
          <w:i/>
          <w:sz w:val="20"/>
          <w:szCs w:val="20"/>
          <w:lang w:eastAsia="x-none"/>
        </w:rPr>
        <w:t>interval</w:t>
      </w:r>
      <w:r w:rsidR="00CF396B">
        <w:rPr>
          <w:b/>
          <w:i/>
          <w:sz w:val="20"/>
          <w:szCs w:val="20"/>
          <w:lang w:eastAsia="x-none"/>
        </w:rPr>
        <w:t xml:space="preserve"> between configured inter-frequency SMTC and intra-frequency SMTC should be larger than</w:t>
      </w:r>
      <w:bookmarkEnd w:id="1"/>
      <w:r w:rsidR="009944A2" w:rsidRPr="009944A2">
        <w:t xml:space="preserve"> </w:t>
      </w:r>
      <w:r w:rsidR="009944A2" w:rsidRPr="009944A2">
        <w:rPr>
          <w:b/>
          <w:i/>
        </w:rPr>
        <w:t>T</w:t>
      </w:r>
      <w:r w:rsidR="009944A2" w:rsidRPr="009944A2">
        <w:rPr>
          <w:b/>
          <w:i/>
          <w:vertAlign w:val="subscript"/>
        </w:rPr>
        <w:t>post_process</w:t>
      </w:r>
      <w:r w:rsidR="009944A2">
        <w:rPr>
          <w:b/>
          <w:i/>
          <w:sz w:val="20"/>
          <w:szCs w:val="20"/>
          <w:lang w:eastAsia="x-none"/>
        </w:rPr>
        <w:t xml:space="preserve">, </w:t>
      </w:r>
      <w:r w:rsidR="00CF396B">
        <w:rPr>
          <w:b/>
          <w:i/>
          <w:sz w:val="20"/>
          <w:szCs w:val="20"/>
          <w:lang w:eastAsia="x-none"/>
        </w:rPr>
        <w:t>otherwise, there is no requirement for inter-frequency measurement when DRX=320ms and intra-frequency, inter-frequency SMTC=160ms.</w:t>
      </w:r>
    </w:p>
    <w:p w14:paraId="7C6FC139" w14:textId="77777777" w:rsidR="00CE0D5E" w:rsidRPr="000C45FD" w:rsidRDefault="00141644" w:rsidP="00CE0D5E">
      <w:pPr>
        <w:pStyle w:val="1"/>
        <w:numPr>
          <w:ilvl w:val="0"/>
          <w:numId w:val="2"/>
        </w:numPr>
        <w:rPr>
          <w:rFonts w:ascii="Calibri" w:hAnsi="Calibri"/>
          <w:lang w:eastAsia="zh-CN"/>
        </w:rPr>
      </w:pPr>
      <w:bookmarkStart w:id="2" w:name="_GoBack"/>
      <w:bookmarkEnd w:id="2"/>
      <w:r>
        <w:rPr>
          <w:rFonts w:ascii="Calibri" w:hAnsi="Calibri"/>
        </w:rPr>
        <w:t>Summary</w:t>
      </w:r>
    </w:p>
    <w:p w14:paraId="66549B52" w14:textId="1C3D3E1A"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DE7B44">
        <w:rPr>
          <w:noProof/>
        </w:rPr>
        <w:t>IDLE</w:t>
      </w:r>
      <w:r w:rsidR="00DE7B44" w:rsidDel="00DE7B44">
        <w:t xml:space="preserve"> </w:t>
      </w:r>
      <w:r w:rsidR="004E72F9">
        <w:t>state mobility</w:t>
      </w:r>
      <w:r w:rsidR="00356893">
        <w:t xml:space="preserve"> </w:t>
      </w:r>
      <w:r w:rsidR="004E72F9">
        <w:t xml:space="preserve">discussion </w:t>
      </w:r>
      <w:r w:rsidR="00356893">
        <w:t>for SA NR</w:t>
      </w:r>
      <w:r w:rsidR="00B420D5">
        <w:t>.</w:t>
      </w:r>
    </w:p>
    <w:p w14:paraId="5A5FCA2A" w14:textId="77777777" w:rsidR="009944A2" w:rsidRPr="00CF396B" w:rsidRDefault="00466CC3" w:rsidP="00CF396B">
      <w:pPr>
        <w:pStyle w:val="af0"/>
        <w:rPr>
          <w:i/>
          <w:lang w:val="en-US"/>
        </w:rPr>
      </w:pPr>
      <w:r>
        <w:rPr>
          <w:lang w:val="en-GB"/>
        </w:rPr>
        <w:fldChar w:fldCharType="begin"/>
      </w:r>
      <w:r>
        <w:rPr>
          <w:lang w:val="en-GB"/>
        </w:rPr>
        <w:instrText xml:space="preserve"> REF _Ref521415595 \h </w:instrText>
      </w:r>
      <w:r>
        <w:rPr>
          <w:lang w:val="en-GB"/>
        </w:rPr>
      </w:r>
      <w:r>
        <w:rPr>
          <w:lang w:val="en-GB"/>
        </w:rPr>
        <w:fldChar w:fldCharType="separate"/>
      </w:r>
      <w:r w:rsidR="009944A2" w:rsidRPr="00CF396B">
        <w:rPr>
          <w:i/>
          <w:lang w:val="en-US"/>
        </w:rPr>
        <w:t xml:space="preserve">Observation </w:t>
      </w:r>
      <w:r w:rsidR="009944A2">
        <w:rPr>
          <w:i/>
          <w:noProof/>
          <w:lang w:val="en-US"/>
        </w:rPr>
        <w:t>1</w:t>
      </w:r>
      <w:r w:rsidR="009944A2" w:rsidRPr="00CF396B">
        <w:rPr>
          <w:i/>
          <w:lang w:val="en-US"/>
        </w:rPr>
        <w:t>: UE cannot execute inter-frequency measurement even when intra-frequency SMTC duration is non-overlapped with intra-frequency SMTC duration.</w:t>
      </w:r>
    </w:p>
    <w:p w14:paraId="4DE79DB1" w14:textId="7CEA050B" w:rsidR="00F2164A" w:rsidRPr="00CF396B" w:rsidRDefault="009944A2" w:rsidP="00CF396B">
      <w:pPr>
        <w:rPr>
          <w:sz w:val="20"/>
        </w:rPr>
      </w:pPr>
      <w:r w:rsidRPr="00F13D37">
        <w:rPr>
          <w:b/>
          <w:i/>
          <w:sz w:val="20"/>
          <w:szCs w:val="20"/>
          <w:lang w:eastAsia="x-none"/>
        </w:rPr>
        <w:t xml:space="preserve">Proposal </w:t>
      </w:r>
      <w:r>
        <w:rPr>
          <w:b/>
          <w:i/>
          <w:noProof/>
          <w:sz w:val="20"/>
          <w:szCs w:val="20"/>
          <w:lang w:eastAsia="x-none"/>
        </w:rPr>
        <w:t>1</w:t>
      </w:r>
      <w:r w:rsidRPr="00F13D37">
        <w:rPr>
          <w:b/>
          <w:i/>
          <w:sz w:val="20"/>
          <w:szCs w:val="20"/>
          <w:lang w:eastAsia="x-none"/>
        </w:rPr>
        <w:t xml:space="preserve">: The </w:t>
      </w:r>
      <w:r>
        <w:rPr>
          <w:b/>
          <w:i/>
          <w:sz w:val="20"/>
          <w:szCs w:val="20"/>
          <w:lang w:eastAsia="x-none"/>
        </w:rPr>
        <w:t>interval between configured inter-frequency SMTC and intra-frequency SMTC should be larger than</w:t>
      </w:r>
      <w:r w:rsidR="00466CC3">
        <w:rPr>
          <w:sz w:val="20"/>
          <w:lang w:val="en-GB"/>
        </w:rPr>
        <w:fldChar w:fldCharType="end"/>
      </w:r>
      <w:r w:rsidRPr="009944A2">
        <w:rPr>
          <w:b/>
          <w:i/>
        </w:rPr>
        <w:t xml:space="preserve"> </w:t>
      </w:r>
      <w:r w:rsidRPr="009944A2">
        <w:rPr>
          <w:b/>
          <w:i/>
        </w:rPr>
        <w:t>T</w:t>
      </w:r>
      <w:r w:rsidRPr="009944A2">
        <w:rPr>
          <w:b/>
          <w:i/>
          <w:vertAlign w:val="subscript"/>
        </w:rPr>
        <w:t>post_process</w:t>
      </w:r>
      <w:r>
        <w:rPr>
          <w:b/>
          <w:i/>
          <w:sz w:val="20"/>
          <w:szCs w:val="20"/>
          <w:lang w:eastAsia="x-none"/>
        </w:rPr>
        <w:t xml:space="preserve">, </w:t>
      </w:r>
      <w:r>
        <w:rPr>
          <w:b/>
          <w:i/>
          <w:sz w:val="20"/>
          <w:szCs w:val="20"/>
          <w:lang w:eastAsia="x-none"/>
        </w:rPr>
        <w:t>otherwise, there is no requirement for inter-frequency measurement when DRX=320ms and intra-frequency, inter-frequency SMTC=160ms.</w:t>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84CEC3C" w14:textId="1D59541B" w:rsidR="00F53223" w:rsidRPr="00F53223" w:rsidRDefault="00F53223" w:rsidP="00322921">
      <w:pPr>
        <w:numPr>
          <w:ilvl w:val="0"/>
          <w:numId w:val="1"/>
        </w:numPr>
        <w:rPr>
          <w:iCs/>
          <w:lang w:val="en-GB"/>
        </w:rPr>
      </w:pPr>
      <w:bookmarkStart w:id="3" w:name="_Ref510193169"/>
      <w:bookmarkStart w:id="4" w:name="_Ref509850443"/>
      <w:bookmarkStart w:id="5" w:name="_Ref446505138"/>
      <w:r w:rsidRPr="00F53223">
        <w:rPr>
          <w:iCs/>
          <w:lang w:val="en-GB"/>
        </w:rPr>
        <w:t>R4-18</w:t>
      </w:r>
      <w:r w:rsidR="00CF396B">
        <w:rPr>
          <w:iCs/>
          <w:lang w:val="en-GB"/>
        </w:rPr>
        <w:t>11701</w:t>
      </w:r>
      <w:r>
        <w:rPr>
          <w:iCs/>
          <w:lang w:val="en-GB"/>
        </w:rPr>
        <w:t>, ‘’</w:t>
      </w:r>
      <w:r w:rsidR="00CF396B" w:rsidRPr="00CF396B">
        <w:rPr>
          <w:noProof/>
        </w:rPr>
        <w:t xml:space="preserve"> </w:t>
      </w:r>
      <w:r w:rsidR="00CF396B" w:rsidRPr="00D72946">
        <w:rPr>
          <w:noProof/>
        </w:rPr>
        <w:t>Measurement Requirements under Paging Occasion Collision with SSB</w:t>
      </w:r>
      <w:r>
        <w:rPr>
          <w:iCs/>
        </w:rPr>
        <w:t>’’, Ericsson,</w:t>
      </w:r>
      <w:r w:rsidRPr="00F53223">
        <w:rPr>
          <w:iCs/>
          <w:lang w:val="en-GB"/>
        </w:rPr>
        <w:t xml:space="preserve"> </w:t>
      </w:r>
      <w:r w:rsidR="00CF396B">
        <w:rPr>
          <w:iCs/>
          <w:lang w:val="en-GB"/>
        </w:rPr>
        <w:t xml:space="preserve">Intel, </w:t>
      </w:r>
      <w:r w:rsidRPr="00B56A0E">
        <w:rPr>
          <w:iCs/>
          <w:lang w:val="en-GB"/>
        </w:rPr>
        <w:t>Mediatek</w:t>
      </w:r>
      <w:r>
        <w:rPr>
          <w:iCs/>
        </w:rPr>
        <w:t xml:space="preserve"> </w:t>
      </w:r>
    </w:p>
    <w:bookmarkEnd w:id="3"/>
    <w:bookmarkEnd w:id="4"/>
    <w:bookmarkEnd w:id="5"/>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8A09F" w14:textId="77777777" w:rsidR="003151BC" w:rsidRDefault="003151BC">
      <w:r>
        <w:separator/>
      </w:r>
    </w:p>
  </w:endnote>
  <w:endnote w:type="continuationSeparator" w:id="0">
    <w:p w14:paraId="05DCC21D" w14:textId="77777777" w:rsidR="003151BC" w:rsidRDefault="0031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53F57" w14:textId="77777777" w:rsidR="003151BC" w:rsidRDefault="003151BC">
      <w:r>
        <w:separator/>
      </w:r>
    </w:p>
  </w:footnote>
  <w:footnote w:type="continuationSeparator" w:id="0">
    <w:p w14:paraId="7BF43375" w14:textId="77777777" w:rsidR="003151BC" w:rsidRDefault="00315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12"/>
  </w:num>
  <w:num w:numId="3">
    <w:abstractNumId w:val="6"/>
  </w:num>
  <w:num w:numId="4">
    <w:abstractNumId w:val="8"/>
  </w:num>
  <w:num w:numId="5">
    <w:abstractNumId w:val="9"/>
  </w:num>
  <w:num w:numId="6">
    <w:abstractNumId w:val="2"/>
  </w:num>
  <w:num w:numId="7">
    <w:abstractNumId w:val="5"/>
  </w:num>
  <w:num w:numId="8">
    <w:abstractNumId w:val="10"/>
  </w:num>
  <w:num w:numId="9">
    <w:abstractNumId w:val="3"/>
  </w:num>
  <w:num w:numId="10">
    <w:abstractNumId w:val="0"/>
  </w:num>
  <w:num w:numId="11">
    <w:abstractNumId w:val="4"/>
  </w:num>
  <w:num w:numId="12">
    <w:abstractNumId w:val="7"/>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10A8"/>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467"/>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6F4E"/>
    <w:rsid w:val="001C762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D5F"/>
    <w:rsid w:val="00314E50"/>
    <w:rsid w:val="00314E6B"/>
    <w:rsid w:val="00314F76"/>
    <w:rsid w:val="003151BC"/>
    <w:rsid w:val="003159C3"/>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2DF"/>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0D"/>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1A7"/>
    <w:rsid w:val="005C6A95"/>
    <w:rsid w:val="005C6E40"/>
    <w:rsid w:val="005C748C"/>
    <w:rsid w:val="005D0100"/>
    <w:rsid w:val="005D05E3"/>
    <w:rsid w:val="005D0890"/>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791"/>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ADB"/>
    <w:rsid w:val="00614CD1"/>
    <w:rsid w:val="006150F1"/>
    <w:rsid w:val="00615533"/>
    <w:rsid w:val="00616260"/>
    <w:rsid w:val="00616781"/>
    <w:rsid w:val="006169A4"/>
    <w:rsid w:val="00616D8C"/>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A0044"/>
    <w:rsid w:val="006A054A"/>
    <w:rsid w:val="006A0665"/>
    <w:rsid w:val="006A0A49"/>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AB7"/>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2205"/>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DFA"/>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DFA"/>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884"/>
    <w:rsid w:val="0096610A"/>
    <w:rsid w:val="00966186"/>
    <w:rsid w:val="00966525"/>
    <w:rsid w:val="0096756E"/>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4A2"/>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4AC"/>
    <w:rsid w:val="009C1BFC"/>
    <w:rsid w:val="009C1E8C"/>
    <w:rsid w:val="009C213E"/>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8B6"/>
    <w:rsid w:val="00A34AB0"/>
    <w:rsid w:val="00A350A2"/>
    <w:rsid w:val="00A3525A"/>
    <w:rsid w:val="00A3540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D2"/>
    <w:rsid w:val="00CA6665"/>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209"/>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6B"/>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27F4D"/>
    <w:rsid w:val="00D305E3"/>
    <w:rsid w:val="00D30BCA"/>
    <w:rsid w:val="00D30E10"/>
    <w:rsid w:val="00D3219D"/>
    <w:rsid w:val="00D32561"/>
    <w:rsid w:val="00D32EDB"/>
    <w:rsid w:val="00D33189"/>
    <w:rsid w:val="00D33F1D"/>
    <w:rsid w:val="00D33F7C"/>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D89"/>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5BBF"/>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D0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F0D0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F0D0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A6A5-9434-40D9-A09E-4650D7370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2018-09-28T09:37:00Z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